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8CA76" w14:textId="2EAF97B9" w:rsidR="00E76E79" w:rsidRPr="008C0CB3" w:rsidRDefault="00E76E79" w:rsidP="009F40D4">
      <w:pPr>
        <w:jc w:val="center"/>
        <w:rPr>
          <w:b/>
          <w:sz w:val="28"/>
          <w:szCs w:val="28"/>
        </w:rPr>
      </w:pP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r w:rsidR="007821C8">
        <w:rPr>
          <w:b/>
          <w:sz w:val="28"/>
          <w:szCs w:val="28"/>
          <w:lang w:val="kk-KZ"/>
        </w:rPr>
        <w:t>7R0111</w:t>
      </w:r>
      <w:r w:rsidR="00B664C9">
        <w:rPr>
          <w:b/>
          <w:sz w:val="28"/>
          <w:szCs w:val="28"/>
          <w:lang w:val="kk-KZ"/>
        </w:rPr>
        <w:t>1</w:t>
      </w:r>
      <w:r w:rsidRPr="008C0CB3">
        <w:rPr>
          <w:b/>
          <w:sz w:val="28"/>
          <w:szCs w:val="28"/>
        </w:rPr>
        <w:t xml:space="preserve"> «</w:t>
      </w:r>
      <w:r w:rsidR="00B664C9" w:rsidRPr="00B664C9">
        <w:rPr>
          <w:b/>
          <w:sz w:val="28"/>
          <w:szCs w:val="28"/>
          <w:lang w:val="kk-KZ"/>
        </w:rPr>
        <w:t xml:space="preserve">Неврология </w:t>
      </w:r>
      <w:r w:rsidR="00A973CC" w:rsidRPr="00A973CC">
        <w:rPr>
          <w:b/>
          <w:sz w:val="28"/>
          <w:szCs w:val="28"/>
          <w:lang w:val="kk-KZ"/>
        </w:rPr>
        <w:t>взрослая, детская</w:t>
      </w:r>
      <w:r w:rsidRPr="008C0CB3">
        <w:rPr>
          <w:b/>
          <w:sz w:val="28"/>
          <w:szCs w:val="28"/>
        </w:rPr>
        <w:t>»</w:t>
      </w:r>
    </w:p>
    <w:p w14:paraId="40D2DDE4" w14:textId="77777777" w:rsidR="00B664C9" w:rsidRPr="00B664C9" w:rsidRDefault="000E340A" w:rsidP="00B664C9">
      <w:pPr>
        <w:pStyle w:val="afa"/>
        <w:numPr>
          <w:ilvl w:val="0"/>
          <w:numId w:val="12"/>
        </w:numPr>
        <w:tabs>
          <w:tab w:val="left" w:pos="426"/>
        </w:tabs>
        <w:snapToGrid w:val="0"/>
        <w:ind w:firstLine="426"/>
        <w:jc w:val="both"/>
        <w:rPr>
          <w:sz w:val="28"/>
          <w:szCs w:val="28"/>
        </w:rPr>
      </w:pPr>
      <w:r w:rsidRPr="00D70B4D">
        <w:rPr>
          <w:sz w:val="28"/>
          <w:szCs w:val="28"/>
        </w:rPr>
        <w:t xml:space="preserve"> </w:t>
      </w:r>
      <w:r w:rsidR="00B664C9" w:rsidRPr="00B664C9">
        <w:rPr>
          <w:sz w:val="28"/>
          <w:szCs w:val="28"/>
        </w:rPr>
        <w:t xml:space="preserve">Анатомо-физиологические особенности нервной системы у детей. Периоды психомоторного развития ребенка первого года жизни. </w:t>
      </w:r>
    </w:p>
    <w:p w14:paraId="74974340"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Центральный парали</w:t>
      </w:r>
      <w:proofErr w:type="gramStart"/>
      <w:r w:rsidRPr="00B664C9">
        <w:rPr>
          <w:sz w:val="28"/>
          <w:szCs w:val="28"/>
        </w:rPr>
        <w:t>ч-</w:t>
      </w:r>
      <w:proofErr w:type="gramEnd"/>
      <w:r w:rsidRPr="00B664C9">
        <w:rPr>
          <w:sz w:val="28"/>
          <w:szCs w:val="28"/>
        </w:rPr>
        <w:t xml:space="preserve"> клиника, особенности у детей первого года жизни. </w:t>
      </w:r>
    </w:p>
    <w:p w14:paraId="69FBDCC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Поражение спинного мозга на шейном, грудном, поясничном уровнях.</w:t>
      </w:r>
    </w:p>
    <w:p w14:paraId="7E514868"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Рефлекторные, компрессионно-корешковые синдромы поясничного остеохондроза. Классификация, патогенез, клиника, диагностика, лечение.</w:t>
      </w:r>
    </w:p>
    <w:p w14:paraId="0F53ABA1"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Рефлекторные и компрессионные синдромы шейного остеохондроза. Классификация, патогенез, клиника, лечение.</w:t>
      </w:r>
    </w:p>
    <w:p w14:paraId="17EBFE0E"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Рефлекторные и компрессионные синдромы грудного остеохондроза. Классификация, патогенез, клиника, лечение.</w:t>
      </w:r>
    </w:p>
    <w:p w14:paraId="537E2C4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Невралгия тройничного нерва. </w:t>
      </w:r>
      <w:proofErr w:type="spellStart"/>
      <w:r w:rsidRPr="00B664C9">
        <w:rPr>
          <w:sz w:val="28"/>
          <w:szCs w:val="28"/>
        </w:rPr>
        <w:t>Этиопатогенез</w:t>
      </w:r>
      <w:proofErr w:type="spellEnd"/>
      <w:r w:rsidRPr="00B664C9">
        <w:rPr>
          <w:sz w:val="28"/>
          <w:szCs w:val="28"/>
        </w:rPr>
        <w:t>, клиника, диагностика, лечение.</w:t>
      </w:r>
    </w:p>
    <w:p w14:paraId="2A74E3A1"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Невропатия лицевого нерва. </w:t>
      </w:r>
      <w:proofErr w:type="spellStart"/>
      <w:r w:rsidRPr="00B664C9">
        <w:rPr>
          <w:sz w:val="28"/>
          <w:szCs w:val="28"/>
        </w:rPr>
        <w:t>Этиопатогенез</w:t>
      </w:r>
      <w:proofErr w:type="spellEnd"/>
      <w:r w:rsidRPr="00B664C9">
        <w:rPr>
          <w:sz w:val="28"/>
          <w:szCs w:val="28"/>
        </w:rPr>
        <w:t>, клиника, диагностика, лечение.</w:t>
      </w:r>
    </w:p>
    <w:p w14:paraId="614D506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Невралгия языкоглоточного нерва. </w:t>
      </w:r>
      <w:proofErr w:type="spellStart"/>
      <w:r w:rsidRPr="00B664C9">
        <w:rPr>
          <w:sz w:val="28"/>
          <w:szCs w:val="28"/>
        </w:rPr>
        <w:t>Этиопатогенез</w:t>
      </w:r>
      <w:proofErr w:type="spellEnd"/>
      <w:r w:rsidRPr="00B664C9">
        <w:rPr>
          <w:sz w:val="28"/>
          <w:szCs w:val="28"/>
        </w:rPr>
        <w:t>, клиника, диагностика, лечение.</w:t>
      </w:r>
    </w:p>
    <w:p w14:paraId="6E138DF6"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spellStart"/>
      <w:r w:rsidRPr="00B664C9">
        <w:rPr>
          <w:sz w:val="28"/>
          <w:szCs w:val="28"/>
        </w:rPr>
        <w:t>Полиневропатии</w:t>
      </w:r>
      <w:proofErr w:type="spellEnd"/>
      <w:r w:rsidRPr="00B664C9">
        <w:rPr>
          <w:sz w:val="28"/>
          <w:szCs w:val="28"/>
        </w:rPr>
        <w:t xml:space="preserve">. Классификация, </w:t>
      </w:r>
      <w:proofErr w:type="spellStart"/>
      <w:r w:rsidRPr="00B664C9">
        <w:rPr>
          <w:sz w:val="28"/>
          <w:szCs w:val="28"/>
        </w:rPr>
        <w:t>этиопатогенез</w:t>
      </w:r>
      <w:proofErr w:type="spellEnd"/>
      <w:r w:rsidRPr="00B664C9">
        <w:rPr>
          <w:sz w:val="28"/>
          <w:szCs w:val="28"/>
        </w:rPr>
        <w:t xml:space="preserve">, клиника, диагностика, лечение.           </w:t>
      </w:r>
    </w:p>
    <w:p w14:paraId="7F39F5D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Острая </w:t>
      </w:r>
      <w:proofErr w:type="spellStart"/>
      <w:r w:rsidRPr="00B664C9">
        <w:rPr>
          <w:sz w:val="28"/>
          <w:szCs w:val="28"/>
        </w:rPr>
        <w:t>полирадикулоневропатия</w:t>
      </w:r>
      <w:proofErr w:type="spellEnd"/>
      <w:r w:rsidRPr="00B664C9">
        <w:rPr>
          <w:sz w:val="28"/>
          <w:szCs w:val="28"/>
        </w:rPr>
        <w:t xml:space="preserve"> </w:t>
      </w:r>
      <w:proofErr w:type="spellStart"/>
      <w:r w:rsidRPr="00B664C9">
        <w:rPr>
          <w:sz w:val="28"/>
          <w:szCs w:val="28"/>
        </w:rPr>
        <w:t>Гийена-Барре</w:t>
      </w:r>
      <w:proofErr w:type="spellEnd"/>
      <w:r w:rsidRPr="00B664C9">
        <w:rPr>
          <w:sz w:val="28"/>
          <w:szCs w:val="28"/>
        </w:rPr>
        <w:t>. Этиология, патогенез, клиника, диагностика, лечение.</w:t>
      </w:r>
    </w:p>
    <w:p w14:paraId="6D988960"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Хроническая </w:t>
      </w:r>
      <w:r w:rsidRPr="00B664C9">
        <w:rPr>
          <w:sz w:val="28"/>
          <w:szCs w:val="28"/>
        </w:rPr>
        <w:tab/>
        <w:t xml:space="preserve">воспалительная </w:t>
      </w:r>
      <w:proofErr w:type="spellStart"/>
      <w:r w:rsidRPr="00B664C9">
        <w:rPr>
          <w:sz w:val="28"/>
          <w:szCs w:val="28"/>
        </w:rPr>
        <w:t>демиеленизирующая</w:t>
      </w:r>
      <w:proofErr w:type="spellEnd"/>
      <w:r w:rsidRPr="00B664C9">
        <w:rPr>
          <w:sz w:val="28"/>
          <w:szCs w:val="28"/>
        </w:rPr>
        <w:t xml:space="preserve"> </w:t>
      </w:r>
      <w:proofErr w:type="spellStart"/>
      <w:r w:rsidRPr="00B664C9">
        <w:rPr>
          <w:sz w:val="28"/>
          <w:szCs w:val="28"/>
        </w:rPr>
        <w:t>полирадикулоневропатия</w:t>
      </w:r>
      <w:proofErr w:type="spellEnd"/>
      <w:r w:rsidRPr="00B664C9">
        <w:rPr>
          <w:sz w:val="28"/>
          <w:szCs w:val="28"/>
        </w:rPr>
        <w:t>. Этиология, патогенез, клиника, диагностика, лечение.</w:t>
      </w:r>
    </w:p>
    <w:p w14:paraId="0FDB0D1B"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spellStart"/>
      <w:r w:rsidRPr="00B664C9">
        <w:rPr>
          <w:sz w:val="28"/>
          <w:szCs w:val="28"/>
        </w:rPr>
        <w:t>Праксис</w:t>
      </w:r>
      <w:proofErr w:type="spellEnd"/>
      <w:r w:rsidRPr="00B664C9">
        <w:rPr>
          <w:sz w:val="28"/>
          <w:szCs w:val="28"/>
        </w:rPr>
        <w:t xml:space="preserve">, виды </w:t>
      </w:r>
      <w:proofErr w:type="spellStart"/>
      <w:r w:rsidRPr="00B664C9">
        <w:rPr>
          <w:sz w:val="28"/>
          <w:szCs w:val="28"/>
        </w:rPr>
        <w:t>апраксий</w:t>
      </w:r>
      <w:proofErr w:type="spellEnd"/>
      <w:r w:rsidRPr="00B664C9">
        <w:rPr>
          <w:sz w:val="28"/>
          <w:szCs w:val="28"/>
        </w:rPr>
        <w:t>.</w:t>
      </w:r>
    </w:p>
    <w:p w14:paraId="61928791"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Афазия, виды афазий.</w:t>
      </w:r>
    </w:p>
    <w:p w14:paraId="4D67BFCF"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spellStart"/>
      <w:r w:rsidRPr="00B664C9">
        <w:rPr>
          <w:sz w:val="28"/>
          <w:szCs w:val="28"/>
        </w:rPr>
        <w:t>Гнозис</w:t>
      </w:r>
      <w:proofErr w:type="spellEnd"/>
      <w:r w:rsidRPr="00B664C9">
        <w:rPr>
          <w:sz w:val="28"/>
          <w:szCs w:val="28"/>
        </w:rPr>
        <w:t>, виды агнозий.</w:t>
      </w:r>
    </w:p>
    <w:p w14:paraId="203644E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Поверхностные и глубокие рефлексы, уровни замыкания рефлекторных дуг, методика исследования.</w:t>
      </w:r>
    </w:p>
    <w:p w14:paraId="5CFD866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Поверхностная и глубокая чувствительность, методика исследования, симптомы нарушения.</w:t>
      </w:r>
    </w:p>
    <w:p w14:paraId="0519809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Типы нарушения чувствительности.</w:t>
      </w:r>
    </w:p>
    <w:p w14:paraId="3E663D80"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gramStart"/>
      <w:r w:rsidRPr="00B664C9">
        <w:rPr>
          <w:sz w:val="28"/>
          <w:szCs w:val="28"/>
        </w:rPr>
        <w:t>Корковый</w:t>
      </w:r>
      <w:proofErr w:type="gramEnd"/>
      <w:r w:rsidRPr="00B664C9">
        <w:rPr>
          <w:sz w:val="28"/>
          <w:szCs w:val="28"/>
        </w:rPr>
        <w:t xml:space="preserve"> типа нарушения чувствительности, </w:t>
      </w:r>
      <w:proofErr w:type="spellStart"/>
      <w:r w:rsidRPr="00B664C9">
        <w:rPr>
          <w:sz w:val="28"/>
          <w:szCs w:val="28"/>
        </w:rPr>
        <w:t>джексоновская</w:t>
      </w:r>
      <w:proofErr w:type="spellEnd"/>
      <w:r w:rsidRPr="00B664C9">
        <w:rPr>
          <w:sz w:val="28"/>
          <w:szCs w:val="28"/>
        </w:rPr>
        <w:t xml:space="preserve"> эпилепсия. </w:t>
      </w:r>
    </w:p>
    <w:p w14:paraId="735236E2"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Церебральный паралич, классификация, патогенез, клиника, дифференциальная диагностика, лечение, прогноз. </w:t>
      </w:r>
    </w:p>
    <w:p w14:paraId="34105EB5"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Мозжечок, строение, функция, методика исследования, симптомы поражения.</w:t>
      </w:r>
    </w:p>
    <w:p w14:paraId="730E2117"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Атаксия, виды атаксий.</w:t>
      </w:r>
    </w:p>
    <w:p w14:paraId="0018594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Рассеянный склероз. Классификация, клиника, диагностика, дифференциальная диагностика, лечение, прогноз.</w:t>
      </w:r>
    </w:p>
    <w:p w14:paraId="4126D92E"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Ишемический инсульт. Классификация, этиология, патогенез, клиника, диагностика, лечение.</w:t>
      </w:r>
    </w:p>
    <w:p w14:paraId="0A669D5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lastRenderedPageBreak/>
        <w:t>Геморрагический инсульт. Классификация, этиология, патогенез, клиника, диагностика, лечение.</w:t>
      </w:r>
    </w:p>
    <w:p w14:paraId="1DAFF698"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Транзиторная ишемическая атака. Этиология, патогенез, клиника, диагностика, лечение.</w:t>
      </w:r>
    </w:p>
    <w:p w14:paraId="0293D7B9"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Хроническая недостаточность мозгового кровообращения. Классификация, этиология, патогенез, клиника, диагностика, лечение.</w:t>
      </w:r>
    </w:p>
    <w:p w14:paraId="7CC7980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Гидроцефалия у взрослых. Этиология, патогенез, клиника, диагностика, лечение.</w:t>
      </w:r>
    </w:p>
    <w:p w14:paraId="101FBA0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Пирамидная система. Строение, функция, методика исследования, симптомы и синдромы поражения.</w:t>
      </w:r>
    </w:p>
    <w:p w14:paraId="2C318B85"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Дегенеративные заболевания с преимущественным поражением пирамидной системы. Болезнь </w:t>
      </w:r>
      <w:proofErr w:type="spellStart"/>
      <w:r w:rsidRPr="00B664C9">
        <w:rPr>
          <w:sz w:val="28"/>
          <w:szCs w:val="28"/>
        </w:rPr>
        <w:t>Штрюмпеля</w:t>
      </w:r>
      <w:proofErr w:type="spellEnd"/>
      <w:r w:rsidRPr="00B664C9">
        <w:rPr>
          <w:sz w:val="28"/>
          <w:szCs w:val="28"/>
        </w:rPr>
        <w:t>. Клиника, диагностика, лечение.</w:t>
      </w:r>
    </w:p>
    <w:p w14:paraId="03C23E65"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Экстрапирамидная система, строение, функция, симптомы и синдромы поражения.</w:t>
      </w:r>
    </w:p>
    <w:p w14:paraId="4DE04A55"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Наследственные заболевания с преимущественным поражением экстрапирамидной      системы. Паркинсона болезнь.  Клиника, диагностика, лечение.</w:t>
      </w:r>
    </w:p>
    <w:p w14:paraId="30908E1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Наследственные заболевания с преимущественным поражением экстрапирамидной      системы.  Хорея </w:t>
      </w:r>
      <w:proofErr w:type="spellStart"/>
      <w:r w:rsidRPr="00B664C9">
        <w:rPr>
          <w:sz w:val="28"/>
          <w:szCs w:val="28"/>
        </w:rPr>
        <w:t>Гентингтона</w:t>
      </w:r>
      <w:proofErr w:type="spellEnd"/>
      <w:r w:rsidRPr="00B664C9">
        <w:rPr>
          <w:sz w:val="28"/>
          <w:szCs w:val="28"/>
        </w:rPr>
        <w:t>. Клиника, диагностика, лечение.</w:t>
      </w:r>
    </w:p>
    <w:p w14:paraId="34A737A9"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Бульбарный и псевдобульбарный синдром. Симптомы орального автоматизма.</w:t>
      </w:r>
    </w:p>
    <w:p w14:paraId="0E0F102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Альтернирующие синдромы поражения ствола на уровне среднего мозга.  </w:t>
      </w:r>
    </w:p>
    <w:p w14:paraId="72ECA0FB"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Альтернирующие синдромы поражения на уровне моста ствола мозга. </w:t>
      </w:r>
    </w:p>
    <w:p w14:paraId="7AE8A91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Альтернирующие синдромы </w:t>
      </w:r>
      <w:r w:rsidRPr="00B664C9">
        <w:rPr>
          <w:sz w:val="28"/>
          <w:szCs w:val="28"/>
        </w:rPr>
        <w:tab/>
        <w:t xml:space="preserve">поражения </w:t>
      </w:r>
      <w:r w:rsidRPr="00B664C9">
        <w:rPr>
          <w:sz w:val="28"/>
          <w:szCs w:val="28"/>
        </w:rPr>
        <w:tab/>
        <w:t xml:space="preserve">на </w:t>
      </w:r>
      <w:r w:rsidRPr="00B664C9">
        <w:rPr>
          <w:sz w:val="28"/>
          <w:szCs w:val="28"/>
        </w:rPr>
        <w:tab/>
        <w:t>уровне продолговатого мозга.</w:t>
      </w:r>
    </w:p>
    <w:p w14:paraId="4AAB53A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Обонятельный анализатор. Методика исследования, симптомы поражения.</w:t>
      </w:r>
    </w:p>
    <w:p w14:paraId="29B63E50"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Зрительный анализатор. Методика исследования, симптомы поражения.</w:t>
      </w:r>
    </w:p>
    <w:p w14:paraId="4F813F7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Глазодвигательные нервы (глазодвигательный, блоковый, отводящий). Методика исследования, симптомы поражения.</w:t>
      </w:r>
    </w:p>
    <w:p w14:paraId="2C6C2E6B"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Добавочный нерв. Методика исследования, симптомы поражения.</w:t>
      </w:r>
    </w:p>
    <w:p w14:paraId="4D3D7A37"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Преддверно-улитковый нерв, методика исследования, симптомы поражения.</w:t>
      </w:r>
    </w:p>
    <w:p w14:paraId="4A86646D"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Тройничный нерв. Методика исследования, симптомы поражения.</w:t>
      </w:r>
    </w:p>
    <w:p w14:paraId="20C77846"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Эпилепсия. Классификация, клиника, диагностика, лечение.  </w:t>
      </w:r>
    </w:p>
    <w:p w14:paraId="1F5DE4A2"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Эпилептические энцефалопатии, понятие, часто встречаемые у детей до года. </w:t>
      </w:r>
    </w:p>
    <w:p w14:paraId="7018CE1A"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spellStart"/>
      <w:r w:rsidRPr="00B664C9">
        <w:rPr>
          <w:sz w:val="28"/>
          <w:szCs w:val="28"/>
        </w:rPr>
        <w:t>Генерализованная</w:t>
      </w:r>
      <w:proofErr w:type="spellEnd"/>
      <w:r w:rsidRPr="00B664C9">
        <w:rPr>
          <w:sz w:val="28"/>
          <w:szCs w:val="28"/>
        </w:rPr>
        <w:t xml:space="preserve"> идиопатическая (генетическая) эпилепсия. Классификация, этиология, диагностика, лечение.</w:t>
      </w:r>
    </w:p>
    <w:p w14:paraId="02A79E94"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Фокальная идиопатическая (генетическая) эпилепсия. Классификация, этиология, диагностика, лечение.</w:t>
      </w:r>
    </w:p>
    <w:p w14:paraId="737B533A"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lastRenderedPageBreak/>
        <w:t xml:space="preserve">Синдром Уэста. Синдром </w:t>
      </w:r>
      <w:proofErr w:type="spellStart"/>
      <w:r w:rsidRPr="00B664C9">
        <w:rPr>
          <w:sz w:val="28"/>
          <w:szCs w:val="28"/>
        </w:rPr>
        <w:t>Леннокса-Гасто</w:t>
      </w:r>
      <w:proofErr w:type="spellEnd"/>
      <w:r w:rsidRPr="00B664C9">
        <w:rPr>
          <w:sz w:val="28"/>
          <w:szCs w:val="28"/>
        </w:rPr>
        <w:t xml:space="preserve">. </w:t>
      </w:r>
      <w:proofErr w:type="spellStart"/>
      <w:r w:rsidRPr="00B664C9">
        <w:rPr>
          <w:sz w:val="28"/>
          <w:szCs w:val="28"/>
        </w:rPr>
        <w:t>Этиопатогенез</w:t>
      </w:r>
      <w:proofErr w:type="spellEnd"/>
      <w:r w:rsidRPr="00B664C9">
        <w:rPr>
          <w:sz w:val="28"/>
          <w:szCs w:val="28"/>
        </w:rPr>
        <w:t xml:space="preserve">, </w:t>
      </w:r>
      <w:proofErr w:type="spellStart"/>
      <w:r w:rsidRPr="00B664C9">
        <w:rPr>
          <w:sz w:val="28"/>
          <w:szCs w:val="28"/>
        </w:rPr>
        <w:t>диагонстика</w:t>
      </w:r>
      <w:proofErr w:type="spellEnd"/>
      <w:r w:rsidRPr="00B664C9">
        <w:rPr>
          <w:sz w:val="28"/>
          <w:szCs w:val="28"/>
        </w:rPr>
        <w:t xml:space="preserve">, лечение, прогноз. </w:t>
      </w:r>
    </w:p>
    <w:p w14:paraId="5D34D281"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Прогрессирующие мышечные дистрофии, классификация, критерии формы, </w:t>
      </w:r>
      <w:proofErr w:type="spellStart"/>
      <w:r w:rsidRPr="00B664C9">
        <w:rPr>
          <w:sz w:val="28"/>
          <w:szCs w:val="28"/>
        </w:rPr>
        <w:t>Дюшенна</w:t>
      </w:r>
      <w:proofErr w:type="spellEnd"/>
      <w:r w:rsidRPr="00B664C9">
        <w:rPr>
          <w:sz w:val="28"/>
          <w:szCs w:val="28"/>
        </w:rPr>
        <w:t xml:space="preserve">, </w:t>
      </w:r>
      <w:proofErr w:type="spellStart"/>
      <w:r w:rsidRPr="00B664C9">
        <w:rPr>
          <w:sz w:val="28"/>
          <w:szCs w:val="28"/>
        </w:rPr>
        <w:t>Эрба</w:t>
      </w:r>
      <w:proofErr w:type="spellEnd"/>
      <w:r w:rsidRPr="00B664C9">
        <w:rPr>
          <w:sz w:val="28"/>
          <w:szCs w:val="28"/>
        </w:rPr>
        <w:t xml:space="preserve">-Рота, </w:t>
      </w:r>
      <w:proofErr w:type="spellStart"/>
      <w:r w:rsidRPr="00B664C9">
        <w:rPr>
          <w:sz w:val="28"/>
          <w:szCs w:val="28"/>
        </w:rPr>
        <w:t>Ландуз</w:t>
      </w:r>
      <w:proofErr w:type="gramStart"/>
      <w:r w:rsidRPr="00B664C9">
        <w:rPr>
          <w:sz w:val="28"/>
          <w:szCs w:val="28"/>
        </w:rPr>
        <w:t>и</w:t>
      </w:r>
      <w:proofErr w:type="spellEnd"/>
      <w:r w:rsidRPr="00B664C9">
        <w:rPr>
          <w:sz w:val="28"/>
          <w:szCs w:val="28"/>
        </w:rPr>
        <w:t>-</w:t>
      </w:r>
      <w:proofErr w:type="gramEnd"/>
      <w:r w:rsidRPr="00B664C9">
        <w:rPr>
          <w:sz w:val="28"/>
          <w:szCs w:val="28"/>
        </w:rPr>
        <w:t xml:space="preserve"> </w:t>
      </w:r>
      <w:proofErr w:type="spellStart"/>
      <w:r w:rsidRPr="00B664C9">
        <w:rPr>
          <w:sz w:val="28"/>
          <w:szCs w:val="28"/>
        </w:rPr>
        <w:t>Дежерина</w:t>
      </w:r>
      <w:proofErr w:type="spellEnd"/>
      <w:r w:rsidRPr="00B664C9">
        <w:rPr>
          <w:sz w:val="28"/>
          <w:szCs w:val="28"/>
        </w:rPr>
        <w:t>.</w:t>
      </w:r>
    </w:p>
    <w:p w14:paraId="4E7C882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Болезни </w:t>
      </w:r>
      <w:proofErr w:type="spellStart"/>
      <w:r w:rsidRPr="00B664C9">
        <w:rPr>
          <w:sz w:val="28"/>
          <w:szCs w:val="28"/>
        </w:rPr>
        <w:t>мотонейрона</w:t>
      </w:r>
      <w:proofErr w:type="spellEnd"/>
      <w:r w:rsidRPr="00B664C9">
        <w:rPr>
          <w:sz w:val="28"/>
          <w:szCs w:val="28"/>
        </w:rPr>
        <w:t>: спинальная мышечная атрофия, классификация, принципы диагностики, лечение</w:t>
      </w:r>
    </w:p>
    <w:p w14:paraId="1A7F886D"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Врожденные </w:t>
      </w:r>
      <w:proofErr w:type="spellStart"/>
      <w:r w:rsidRPr="00B664C9">
        <w:rPr>
          <w:sz w:val="28"/>
          <w:szCs w:val="28"/>
        </w:rPr>
        <w:t>нейропатии</w:t>
      </w:r>
      <w:proofErr w:type="spellEnd"/>
      <w:r w:rsidRPr="00B664C9">
        <w:rPr>
          <w:sz w:val="28"/>
          <w:szCs w:val="28"/>
        </w:rPr>
        <w:t>: Шарко-Мари-Тута, классификация, диагностика, лечение.</w:t>
      </w:r>
    </w:p>
    <w:p w14:paraId="29A16BAE" w14:textId="77777777" w:rsidR="00B664C9" w:rsidRPr="00B664C9" w:rsidRDefault="00B664C9" w:rsidP="00B664C9">
      <w:pPr>
        <w:pStyle w:val="afa"/>
        <w:numPr>
          <w:ilvl w:val="0"/>
          <w:numId w:val="12"/>
        </w:numPr>
        <w:tabs>
          <w:tab w:val="left" w:pos="426"/>
        </w:tabs>
        <w:snapToGrid w:val="0"/>
        <w:ind w:firstLine="426"/>
        <w:jc w:val="both"/>
        <w:rPr>
          <w:sz w:val="28"/>
          <w:szCs w:val="28"/>
        </w:rPr>
      </w:pPr>
      <w:proofErr w:type="spellStart"/>
      <w:r w:rsidRPr="00B664C9">
        <w:rPr>
          <w:sz w:val="28"/>
          <w:szCs w:val="28"/>
        </w:rPr>
        <w:t>Поястно-конечностные</w:t>
      </w:r>
      <w:proofErr w:type="spellEnd"/>
      <w:r w:rsidRPr="00B664C9">
        <w:rPr>
          <w:sz w:val="28"/>
          <w:szCs w:val="28"/>
        </w:rPr>
        <w:t xml:space="preserve"> миопатии, диагностика, лечение</w:t>
      </w:r>
    </w:p>
    <w:p w14:paraId="30ACC0E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Миастения-этиология, патогенез, клиника, </w:t>
      </w:r>
      <w:proofErr w:type="spellStart"/>
      <w:r w:rsidRPr="00B664C9">
        <w:rPr>
          <w:sz w:val="28"/>
          <w:szCs w:val="28"/>
        </w:rPr>
        <w:t>диагностика,лечение</w:t>
      </w:r>
      <w:proofErr w:type="gramStart"/>
      <w:r w:rsidRPr="00B664C9">
        <w:rPr>
          <w:sz w:val="28"/>
          <w:szCs w:val="28"/>
        </w:rPr>
        <w:t>.М</w:t>
      </w:r>
      <w:proofErr w:type="gramEnd"/>
      <w:r w:rsidRPr="00B664C9">
        <w:rPr>
          <w:sz w:val="28"/>
          <w:szCs w:val="28"/>
        </w:rPr>
        <w:t>иастенический</w:t>
      </w:r>
      <w:proofErr w:type="spellEnd"/>
      <w:r w:rsidRPr="00B664C9">
        <w:rPr>
          <w:sz w:val="28"/>
          <w:szCs w:val="28"/>
        </w:rPr>
        <w:t xml:space="preserve"> и холинергический криз. Неотложная помощь при </w:t>
      </w:r>
      <w:proofErr w:type="spellStart"/>
      <w:r w:rsidRPr="00B664C9">
        <w:rPr>
          <w:sz w:val="28"/>
          <w:szCs w:val="28"/>
        </w:rPr>
        <w:t>миастенических</w:t>
      </w:r>
      <w:proofErr w:type="spellEnd"/>
      <w:r w:rsidRPr="00B664C9">
        <w:rPr>
          <w:sz w:val="28"/>
          <w:szCs w:val="28"/>
        </w:rPr>
        <w:t xml:space="preserve"> кризах.</w:t>
      </w:r>
    </w:p>
    <w:p w14:paraId="6E7093A9"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Наследственные системные дегенерации с преимущественным поражением экстрапирамидной нервной систем</w:t>
      </w:r>
      <w:proofErr w:type="gramStart"/>
      <w:r w:rsidRPr="00B664C9">
        <w:rPr>
          <w:sz w:val="28"/>
          <w:szCs w:val="28"/>
        </w:rPr>
        <w:t>ы-</w:t>
      </w:r>
      <w:proofErr w:type="gramEnd"/>
      <w:r w:rsidRPr="00B664C9">
        <w:rPr>
          <w:sz w:val="28"/>
          <w:szCs w:val="28"/>
        </w:rPr>
        <w:t xml:space="preserve"> гепатоцеребральная дистрофия.</w:t>
      </w:r>
    </w:p>
    <w:p w14:paraId="6FDDBA5F"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Наследственные системные дегенерации с преимущественным поражением мозжечка и его связе</w:t>
      </w:r>
      <w:proofErr w:type="gramStart"/>
      <w:r w:rsidRPr="00B664C9">
        <w:rPr>
          <w:sz w:val="28"/>
          <w:szCs w:val="28"/>
        </w:rPr>
        <w:t>й-</w:t>
      </w:r>
      <w:proofErr w:type="gramEnd"/>
      <w:r w:rsidRPr="00B664C9">
        <w:rPr>
          <w:sz w:val="28"/>
          <w:szCs w:val="28"/>
        </w:rPr>
        <w:t xml:space="preserve"> семейная атаксия </w:t>
      </w:r>
      <w:proofErr w:type="spellStart"/>
      <w:r w:rsidRPr="00B664C9">
        <w:rPr>
          <w:sz w:val="28"/>
          <w:szCs w:val="28"/>
        </w:rPr>
        <w:t>Фридрейха</w:t>
      </w:r>
      <w:proofErr w:type="spellEnd"/>
      <w:r w:rsidRPr="00B664C9">
        <w:rPr>
          <w:sz w:val="28"/>
          <w:szCs w:val="28"/>
        </w:rPr>
        <w:t xml:space="preserve">. </w:t>
      </w:r>
    </w:p>
    <w:p w14:paraId="2843B1A5"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Боковой амиотрофический склероз. </w:t>
      </w:r>
      <w:proofErr w:type="spellStart"/>
      <w:r w:rsidRPr="00B664C9">
        <w:rPr>
          <w:sz w:val="28"/>
          <w:szCs w:val="28"/>
        </w:rPr>
        <w:t>Этиопатогенез</w:t>
      </w:r>
      <w:proofErr w:type="spellEnd"/>
      <w:r w:rsidRPr="00B664C9">
        <w:rPr>
          <w:sz w:val="28"/>
          <w:szCs w:val="28"/>
        </w:rPr>
        <w:t>, клиника, течение, лечение, прогноз.</w:t>
      </w:r>
    </w:p>
    <w:p w14:paraId="4802C668"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Дегенеративные заболевания с преимущественным нарушением когнитивных функций. Болезнь Альцгеймера. </w:t>
      </w:r>
      <w:proofErr w:type="spellStart"/>
      <w:r w:rsidRPr="00B664C9">
        <w:rPr>
          <w:sz w:val="28"/>
          <w:szCs w:val="28"/>
        </w:rPr>
        <w:t>Этиопатогенез</w:t>
      </w:r>
      <w:proofErr w:type="spellEnd"/>
      <w:r w:rsidRPr="00B664C9">
        <w:rPr>
          <w:sz w:val="28"/>
          <w:szCs w:val="28"/>
        </w:rPr>
        <w:t>, клиника, диагностика, лечение.</w:t>
      </w:r>
    </w:p>
    <w:p w14:paraId="2D8257DA"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Острый рассеянный </w:t>
      </w:r>
      <w:proofErr w:type="spellStart"/>
      <w:r w:rsidRPr="00B664C9">
        <w:rPr>
          <w:sz w:val="28"/>
          <w:szCs w:val="28"/>
        </w:rPr>
        <w:t>энцефаломиелит</w:t>
      </w:r>
      <w:proofErr w:type="spellEnd"/>
      <w:r w:rsidRPr="00B664C9">
        <w:rPr>
          <w:sz w:val="28"/>
          <w:szCs w:val="28"/>
        </w:rPr>
        <w:t>. Классификация, клиника, диагностика, лечение, прогноз.</w:t>
      </w:r>
    </w:p>
    <w:p w14:paraId="7C71186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 xml:space="preserve">Острые гнойные менингиты. Этиология, патогенез, особенности клиники, дифференциальная диагностика, лечение, прогноз. </w:t>
      </w:r>
    </w:p>
    <w:p w14:paraId="19C19823" w14:textId="77777777" w:rsidR="00B664C9" w:rsidRPr="00B664C9" w:rsidRDefault="00B664C9" w:rsidP="00B664C9">
      <w:pPr>
        <w:pStyle w:val="afa"/>
        <w:numPr>
          <w:ilvl w:val="0"/>
          <w:numId w:val="12"/>
        </w:numPr>
        <w:tabs>
          <w:tab w:val="left" w:pos="426"/>
        </w:tabs>
        <w:snapToGrid w:val="0"/>
        <w:ind w:firstLine="426"/>
        <w:jc w:val="both"/>
        <w:rPr>
          <w:sz w:val="28"/>
          <w:szCs w:val="28"/>
        </w:rPr>
      </w:pPr>
      <w:r w:rsidRPr="00B664C9">
        <w:rPr>
          <w:sz w:val="28"/>
          <w:szCs w:val="28"/>
        </w:rPr>
        <w:t>Острые серозные менингиты. Этиология, патогенез, особенности клиники, дифференциальная диагностика, лечение, прогноз.</w:t>
      </w:r>
    </w:p>
    <w:p w14:paraId="21F57697" w14:textId="3F83DD70" w:rsidR="00FE70B1" w:rsidRDefault="00FE70B1" w:rsidP="00B664C9">
      <w:pPr>
        <w:pStyle w:val="afa"/>
        <w:tabs>
          <w:tab w:val="left" w:pos="426"/>
        </w:tabs>
        <w:snapToGrid w:val="0"/>
        <w:ind w:left="709"/>
        <w:jc w:val="both"/>
        <w:rPr>
          <w:sz w:val="28"/>
          <w:szCs w:val="28"/>
        </w:rPr>
      </w:pPr>
    </w:p>
    <w:p w14:paraId="32F62818" w14:textId="77777777" w:rsidR="00B664C9" w:rsidRDefault="00B664C9" w:rsidP="00B664C9">
      <w:pPr>
        <w:pStyle w:val="afa"/>
        <w:tabs>
          <w:tab w:val="left" w:pos="426"/>
        </w:tabs>
        <w:snapToGrid w:val="0"/>
        <w:ind w:left="709"/>
        <w:jc w:val="both"/>
        <w:rPr>
          <w:sz w:val="28"/>
          <w:szCs w:val="28"/>
        </w:rPr>
      </w:pPr>
    </w:p>
    <w:p w14:paraId="286CEF18" w14:textId="77777777" w:rsidR="00B664C9" w:rsidRDefault="00B664C9" w:rsidP="00B664C9">
      <w:pPr>
        <w:pStyle w:val="afa"/>
        <w:tabs>
          <w:tab w:val="left" w:pos="426"/>
        </w:tabs>
        <w:snapToGrid w:val="0"/>
        <w:ind w:left="709"/>
        <w:jc w:val="both"/>
        <w:rPr>
          <w:sz w:val="28"/>
          <w:szCs w:val="28"/>
        </w:rPr>
      </w:pPr>
    </w:p>
    <w:p w14:paraId="761D4568" w14:textId="77777777" w:rsidR="00B664C9" w:rsidRDefault="00B664C9" w:rsidP="00B664C9">
      <w:pPr>
        <w:pStyle w:val="afa"/>
        <w:tabs>
          <w:tab w:val="left" w:pos="426"/>
        </w:tabs>
        <w:snapToGrid w:val="0"/>
        <w:ind w:left="709"/>
        <w:jc w:val="both"/>
        <w:rPr>
          <w:sz w:val="28"/>
          <w:szCs w:val="28"/>
        </w:rPr>
      </w:pPr>
    </w:p>
    <w:p w14:paraId="5BFC90E1" w14:textId="77777777" w:rsidR="00B664C9" w:rsidRDefault="00B664C9" w:rsidP="00B664C9">
      <w:pPr>
        <w:pStyle w:val="afa"/>
        <w:tabs>
          <w:tab w:val="left" w:pos="426"/>
        </w:tabs>
        <w:snapToGrid w:val="0"/>
        <w:ind w:left="709"/>
        <w:jc w:val="both"/>
        <w:rPr>
          <w:sz w:val="28"/>
          <w:szCs w:val="28"/>
        </w:rPr>
      </w:pPr>
    </w:p>
    <w:p w14:paraId="034EE960" w14:textId="77777777" w:rsidR="00B664C9" w:rsidRDefault="00B664C9" w:rsidP="00B664C9">
      <w:pPr>
        <w:pStyle w:val="afa"/>
        <w:tabs>
          <w:tab w:val="left" w:pos="426"/>
        </w:tabs>
        <w:snapToGrid w:val="0"/>
        <w:ind w:left="709"/>
        <w:jc w:val="both"/>
        <w:rPr>
          <w:sz w:val="28"/>
          <w:szCs w:val="28"/>
        </w:rPr>
      </w:pPr>
    </w:p>
    <w:p w14:paraId="055BAEFE" w14:textId="77777777" w:rsidR="00B664C9" w:rsidRDefault="00B664C9" w:rsidP="00B664C9">
      <w:pPr>
        <w:pStyle w:val="afa"/>
        <w:tabs>
          <w:tab w:val="left" w:pos="426"/>
        </w:tabs>
        <w:snapToGrid w:val="0"/>
        <w:ind w:left="709"/>
        <w:jc w:val="both"/>
        <w:rPr>
          <w:sz w:val="28"/>
          <w:szCs w:val="28"/>
        </w:rPr>
      </w:pPr>
    </w:p>
    <w:p w14:paraId="2954F2B6" w14:textId="77777777" w:rsidR="00B664C9" w:rsidRDefault="00B664C9" w:rsidP="00B664C9">
      <w:pPr>
        <w:pStyle w:val="afa"/>
        <w:tabs>
          <w:tab w:val="left" w:pos="426"/>
        </w:tabs>
        <w:snapToGrid w:val="0"/>
        <w:ind w:left="709"/>
        <w:jc w:val="both"/>
        <w:rPr>
          <w:sz w:val="28"/>
          <w:szCs w:val="28"/>
        </w:rPr>
      </w:pPr>
    </w:p>
    <w:p w14:paraId="3AEFEF93" w14:textId="77777777" w:rsidR="00B664C9" w:rsidRDefault="00B664C9" w:rsidP="00B664C9">
      <w:pPr>
        <w:pStyle w:val="afa"/>
        <w:tabs>
          <w:tab w:val="left" w:pos="426"/>
        </w:tabs>
        <w:snapToGrid w:val="0"/>
        <w:ind w:left="709"/>
        <w:jc w:val="both"/>
        <w:rPr>
          <w:sz w:val="28"/>
          <w:szCs w:val="28"/>
        </w:rPr>
      </w:pPr>
    </w:p>
    <w:p w14:paraId="21C69F3A" w14:textId="77777777" w:rsidR="00B664C9" w:rsidRDefault="00B664C9" w:rsidP="00B664C9">
      <w:pPr>
        <w:pStyle w:val="afa"/>
        <w:tabs>
          <w:tab w:val="left" w:pos="426"/>
        </w:tabs>
        <w:snapToGrid w:val="0"/>
        <w:ind w:left="709"/>
        <w:jc w:val="both"/>
        <w:rPr>
          <w:sz w:val="28"/>
          <w:szCs w:val="28"/>
        </w:rPr>
      </w:pPr>
    </w:p>
    <w:p w14:paraId="5BD73482" w14:textId="77777777" w:rsidR="00B664C9" w:rsidRDefault="00B664C9" w:rsidP="00B664C9">
      <w:pPr>
        <w:pStyle w:val="afa"/>
        <w:tabs>
          <w:tab w:val="left" w:pos="426"/>
        </w:tabs>
        <w:snapToGrid w:val="0"/>
        <w:ind w:left="709"/>
        <w:jc w:val="both"/>
        <w:rPr>
          <w:sz w:val="28"/>
          <w:szCs w:val="28"/>
        </w:rPr>
      </w:pPr>
    </w:p>
    <w:p w14:paraId="6A064128" w14:textId="77777777" w:rsidR="00B664C9" w:rsidRDefault="00B664C9" w:rsidP="00B664C9">
      <w:pPr>
        <w:pStyle w:val="afa"/>
        <w:tabs>
          <w:tab w:val="left" w:pos="426"/>
        </w:tabs>
        <w:snapToGrid w:val="0"/>
        <w:ind w:left="709"/>
        <w:jc w:val="both"/>
        <w:rPr>
          <w:sz w:val="28"/>
          <w:szCs w:val="28"/>
        </w:rPr>
      </w:pPr>
    </w:p>
    <w:p w14:paraId="3ED9986E" w14:textId="77777777" w:rsidR="00B664C9" w:rsidRDefault="00B664C9" w:rsidP="00B664C9">
      <w:pPr>
        <w:pStyle w:val="afa"/>
        <w:tabs>
          <w:tab w:val="left" w:pos="426"/>
        </w:tabs>
        <w:snapToGrid w:val="0"/>
        <w:ind w:left="709"/>
        <w:jc w:val="both"/>
        <w:rPr>
          <w:sz w:val="28"/>
          <w:szCs w:val="28"/>
        </w:rPr>
      </w:pPr>
    </w:p>
    <w:p w14:paraId="3CB97FB7" w14:textId="77777777" w:rsidR="00B664C9" w:rsidRDefault="00B664C9" w:rsidP="00B664C9">
      <w:pPr>
        <w:pStyle w:val="afa"/>
        <w:tabs>
          <w:tab w:val="left" w:pos="426"/>
        </w:tabs>
        <w:snapToGrid w:val="0"/>
        <w:ind w:left="709"/>
        <w:jc w:val="both"/>
        <w:rPr>
          <w:sz w:val="28"/>
          <w:szCs w:val="28"/>
        </w:rPr>
      </w:pPr>
    </w:p>
    <w:p w14:paraId="33655B75" w14:textId="77777777" w:rsidR="00B664C9" w:rsidRDefault="00B664C9" w:rsidP="00B664C9">
      <w:pPr>
        <w:pStyle w:val="afa"/>
        <w:tabs>
          <w:tab w:val="left" w:pos="426"/>
        </w:tabs>
        <w:snapToGrid w:val="0"/>
        <w:ind w:left="709"/>
        <w:jc w:val="both"/>
        <w:rPr>
          <w:sz w:val="28"/>
          <w:szCs w:val="28"/>
        </w:rPr>
      </w:pPr>
      <w:bookmarkStart w:id="0" w:name="_GoBack"/>
      <w:bookmarkEnd w:id="0"/>
    </w:p>
    <w:sectPr w:rsidR="00B664C9" w:rsidSect="00511812">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38A2E" w14:textId="77777777" w:rsidR="00AE04CE" w:rsidRDefault="00AE04CE" w:rsidP="009E6D3D">
      <w:r>
        <w:separator/>
      </w:r>
    </w:p>
  </w:endnote>
  <w:endnote w:type="continuationSeparator" w:id="0">
    <w:p w14:paraId="641F6DBC" w14:textId="77777777" w:rsidR="00AE04CE" w:rsidRDefault="00AE04CE"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2FA81" w14:textId="77777777" w:rsidR="00AE04CE" w:rsidRDefault="00AE04CE" w:rsidP="009E6D3D">
      <w:r>
        <w:separator/>
      </w:r>
    </w:p>
  </w:footnote>
  <w:footnote w:type="continuationSeparator" w:id="0">
    <w:p w14:paraId="03DA1495" w14:textId="77777777" w:rsidR="00AE04CE" w:rsidRDefault="00AE04CE"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6"/>
      <w:gridCol w:w="4181"/>
      <w:gridCol w:w="2056"/>
      <w:gridCol w:w="2207"/>
      <w:gridCol w:w="7"/>
    </w:tblGrid>
    <w:tr w:rsidR="00E42F00" w:rsidRPr="00E42F00" w14:paraId="6BD82142" w14:textId="77777777" w:rsidTr="00D4734A">
      <w:trPr>
        <w:trHeight w:val="450"/>
      </w:trPr>
      <w:tc>
        <w:tcPr>
          <w:tcW w:w="623"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43.9pt" o:ole="">
                <v:imagedata r:id="rId1" o:title=""/>
              </v:shape>
              <o:OLEObject Type="Embed" ProgID="CorelDraw.Graphic.16" ShapeID="_x0000_i1025" DrawAspect="Content" ObjectID="_1798634136" r:id="rId2"/>
            </w:object>
          </w:r>
        </w:p>
      </w:tc>
      <w:tc>
        <w:tcPr>
          <w:tcW w:w="4377"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D4734A">
      <w:trPr>
        <w:gridAfter w:val="1"/>
        <w:wAfter w:w="5" w:type="pct"/>
        <w:trHeight w:val="218"/>
      </w:trPr>
      <w:tc>
        <w:tcPr>
          <w:tcW w:w="623"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val="restart"/>
          <w:shd w:val="clear" w:color="auto" w:fill="auto"/>
          <w:vAlign w:val="center"/>
        </w:tcPr>
        <w:p w14:paraId="3057A0FB" w14:textId="7334CC16" w:rsidR="00E42F00" w:rsidRPr="00E42F00" w:rsidRDefault="00E42F00" w:rsidP="0062771F">
          <w:pPr>
            <w:tabs>
              <w:tab w:val="center" w:pos="4677"/>
              <w:tab w:val="right" w:pos="9355"/>
            </w:tabs>
            <w:jc w:val="center"/>
            <w:rPr>
              <w:sz w:val="20"/>
              <w:szCs w:val="20"/>
              <w:lang w:val="kk-KZ"/>
            </w:rPr>
          </w:pPr>
          <w:r w:rsidRPr="00E42F00">
            <w:rPr>
              <w:sz w:val="20"/>
              <w:szCs w:val="20"/>
              <w:lang w:val="kk-KZ"/>
            </w:rPr>
            <w:t>Кафедра «</w:t>
          </w:r>
          <w:r w:rsidR="0062771F">
            <w:rPr>
              <w:sz w:val="20"/>
              <w:szCs w:val="20"/>
              <w:lang w:val="kk-KZ"/>
            </w:rPr>
            <w:t>Внутренних</w:t>
          </w:r>
          <w:r w:rsidRPr="00E42F00">
            <w:rPr>
              <w:sz w:val="20"/>
              <w:szCs w:val="20"/>
              <w:lang w:val="kk-KZ"/>
            </w:rPr>
            <w:t xml:space="preserve"> болезней»</w:t>
          </w:r>
        </w:p>
      </w:tc>
      <w:tc>
        <w:tcPr>
          <w:tcW w:w="1065" w:type="pct"/>
          <w:vMerge w:val="restart"/>
          <w:shd w:val="clear" w:color="auto" w:fill="auto"/>
          <w:vAlign w:val="center"/>
        </w:tcPr>
        <w:p w14:paraId="2CC7965A" w14:textId="67580953" w:rsidR="00E42F00" w:rsidRPr="00E42F00" w:rsidRDefault="00511812" w:rsidP="00E42F00">
          <w:pPr>
            <w:jc w:val="center"/>
            <w:rPr>
              <w:rFonts w:eastAsia="Calibri"/>
              <w:sz w:val="20"/>
              <w:szCs w:val="20"/>
              <w:lang w:val="kk-KZ" w:eastAsia="en-US"/>
            </w:rPr>
          </w:pPr>
          <w:r>
            <w:rPr>
              <w:rFonts w:eastAsia="Calibri"/>
              <w:sz w:val="20"/>
              <w:szCs w:val="20"/>
              <w:lang w:eastAsia="en-US"/>
            </w:rPr>
            <w:t>Программа</w:t>
          </w:r>
        </w:p>
      </w:tc>
      <w:tc>
        <w:tcPr>
          <w:tcW w:w="1143"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D4734A">
      <w:trPr>
        <w:gridAfter w:val="1"/>
        <w:wAfter w:w="5" w:type="pct"/>
        <w:trHeight w:val="169"/>
      </w:trPr>
      <w:tc>
        <w:tcPr>
          <w:tcW w:w="623"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D4734A">
      <w:trPr>
        <w:gridAfter w:val="1"/>
        <w:wAfter w:w="5" w:type="pct"/>
        <w:trHeight w:val="37"/>
      </w:trPr>
      <w:tc>
        <w:tcPr>
          <w:tcW w:w="623"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D91466" w:rsidRPr="00D91466">
            <w:rPr>
              <w:noProof/>
              <w:sz w:val="17"/>
              <w:szCs w:val="17"/>
            </w:rPr>
            <w:t>2</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D91466">
            <w:rPr>
              <w:noProof/>
              <w:sz w:val="17"/>
              <w:szCs w:val="17"/>
            </w:rPr>
            <w:t>3</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6006A13"/>
    <w:multiLevelType w:val="hybridMultilevel"/>
    <w:tmpl w:val="A0BCE016"/>
    <w:lvl w:ilvl="0" w:tplc="B8E8301A">
      <w:start w:val="1"/>
      <w:numFmt w:val="decimal"/>
      <w:suff w:val="space"/>
      <w:lvlText w:val="%1."/>
      <w:lvlJc w:val="left"/>
      <w:pPr>
        <w:ind w:left="0" w:firstLine="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33785C"/>
    <w:multiLevelType w:val="hybridMultilevel"/>
    <w:tmpl w:val="1EC4CF5C"/>
    <w:lvl w:ilvl="0" w:tplc="6DE69F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11"/>
  </w:num>
  <w:num w:numId="10">
    <w:abstractNumId w:val="7"/>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0EB"/>
    <w:rsid w:val="00077AAB"/>
    <w:rsid w:val="000800C7"/>
    <w:rsid w:val="00082BDA"/>
    <w:rsid w:val="000868A0"/>
    <w:rsid w:val="00086FF2"/>
    <w:rsid w:val="000B2EDB"/>
    <w:rsid w:val="000B34D3"/>
    <w:rsid w:val="000C12F1"/>
    <w:rsid w:val="000D3152"/>
    <w:rsid w:val="000D64C5"/>
    <w:rsid w:val="000E340A"/>
    <w:rsid w:val="000E52BC"/>
    <w:rsid w:val="000F2D65"/>
    <w:rsid w:val="0010325F"/>
    <w:rsid w:val="00114356"/>
    <w:rsid w:val="001157C2"/>
    <w:rsid w:val="00122D85"/>
    <w:rsid w:val="00127156"/>
    <w:rsid w:val="0013208A"/>
    <w:rsid w:val="00136134"/>
    <w:rsid w:val="00143094"/>
    <w:rsid w:val="0015110A"/>
    <w:rsid w:val="001552A9"/>
    <w:rsid w:val="001579F3"/>
    <w:rsid w:val="001669AE"/>
    <w:rsid w:val="00174AB7"/>
    <w:rsid w:val="00176A12"/>
    <w:rsid w:val="001849E3"/>
    <w:rsid w:val="001869F8"/>
    <w:rsid w:val="001877CE"/>
    <w:rsid w:val="00195918"/>
    <w:rsid w:val="001A58F9"/>
    <w:rsid w:val="001B479E"/>
    <w:rsid w:val="001B55FA"/>
    <w:rsid w:val="001C045D"/>
    <w:rsid w:val="001C2DF3"/>
    <w:rsid w:val="001D3E7B"/>
    <w:rsid w:val="001F0AF3"/>
    <w:rsid w:val="001F1C29"/>
    <w:rsid w:val="001F50BF"/>
    <w:rsid w:val="002044DA"/>
    <w:rsid w:val="00206D24"/>
    <w:rsid w:val="00222FE2"/>
    <w:rsid w:val="002263DA"/>
    <w:rsid w:val="00231913"/>
    <w:rsid w:val="00232EA6"/>
    <w:rsid w:val="002352E2"/>
    <w:rsid w:val="002412A0"/>
    <w:rsid w:val="00242BCD"/>
    <w:rsid w:val="0024501A"/>
    <w:rsid w:val="002475BE"/>
    <w:rsid w:val="00253645"/>
    <w:rsid w:val="00270ADA"/>
    <w:rsid w:val="00282EE9"/>
    <w:rsid w:val="00287AE9"/>
    <w:rsid w:val="00294C14"/>
    <w:rsid w:val="002A23B0"/>
    <w:rsid w:val="002B09CF"/>
    <w:rsid w:val="002B2932"/>
    <w:rsid w:val="002B6B40"/>
    <w:rsid w:val="002B71A4"/>
    <w:rsid w:val="002C1D09"/>
    <w:rsid w:val="002C6114"/>
    <w:rsid w:val="002D3AF4"/>
    <w:rsid w:val="003008FB"/>
    <w:rsid w:val="00305949"/>
    <w:rsid w:val="003061BC"/>
    <w:rsid w:val="00307496"/>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25739"/>
    <w:rsid w:val="0044314D"/>
    <w:rsid w:val="0044332E"/>
    <w:rsid w:val="0044360B"/>
    <w:rsid w:val="00444A7B"/>
    <w:rsid w:val="0044555E"/>
    <w:rsid w:val="00445F44"/>
    <w:rsid w:val="0045124A"/>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1812"/>
    <w:rsid w:val="00513158"/>
    <w:rsid w:val="0052006B"/>
    <w:rsid w:val="0053017A"/>
    <w:rsid w:val="00534943"/>
    <w:rsid w:val="00534D96"/>
    <w:rsid w:val="00537F13"/>
    <w:rsid w:val="00544149"/>
    <w:rsid w:val="005474A4"/>
    <w:rsid w:val="005527A2"/>
    <w:rsid w:val="00556054"/>
    <w:rsid w:val="00563812"/>
    <w:rsid w:val="005650D5"/>
    <w:rsid w:val="005657D9"/>
    <w:rsid w:val="00573560"/>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D6C57"/>
    <w:rsid w:val="005F1244"/>
    <w:rsid w:val="005F5D79"/>
    <w:rsid w:val="00600B75"/>
    <w:rsid w:val="00602834"/>
    <w:rsid w:val="0061313C"/>
    <w:rsid w:val="0061396C"/>
    <w:rsid w:val="00614C10"/>
    <w:rsid w:val="00615255"/>
    <w:rsid w:val="00624838"/>
    <w:rsid w:val="0062771F"/>
    <w:rsid w:val="00632661"/>
    <w:rsid w:val="006328F7"/>
    <w:rsid w:val="00641F84"/>
    <w:rsid w:val="006507CA"/>
    <w:rsid w:val="00656120"/>
    <w:rsid w:val="00662E8C"/>
    <w:rsid w:val="00666E5E"/>
    <w:rsid w:val="00673636"/>
    <w:rsid w:val="00691227"/>
    <w:rsid w:val="00693A71"/>
    <w:rsid w:val="006A07A4"/>
    <w:rsid w:val="006A39B8"/>
    <w:rsid w:val="006A53CB"/>
    <w:rsid w:val="006C33E7"/>
    <w:rsid w:val="006C3855"/>
    <w:rsid w:val="006C54A8"/>
    <w:rsid w:val="006D6DBA"/>
    <w:rsid w:val="006E1B2A"/>
    <w:rsid w:val="006E3929"/>
    <w:rsid w:val="006E39CB"/>
    <w:rsid w:val="006E75CA"/>
    <w:rsid w:val="006F58FF"/>
    <w:rsid w:val="006F5E5F"/>
    <w:rsid w:val="006F6811"/>
    <w:rsid w:val="006F6CE3"/>
    <w:rsid w:val="00705BC2"/>
    <w:rsid w:val="00726883"/>
    <w:rsid w:val="00731EF8"/>
    <w:rsid w:val="00737259"/>
    <w:rsid w:val="00750FBD"/>
    <w:rsid w:val="00752F1F"/>
    <w:rsid w:val="00754C42"/>
    <w:rsid w:val="00764CE8"/>
    <w:rsid w:val="00774BB3"/>
    <w:rsid w:val="00775B30"/>
    <w:rsid w:val="007800C5"/>
    <w:rsid w:val="007821C8"/>
    <w:rsid w:val="00786222"/>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12EF6"/>
    <w:rsid w:val="0081633B"/>
    <w:rsid w:val="0082112F"/>
    <w:rsid w:val="0082117A"/>
    <w:rsid w:val="008236CE"/>
    <w:rsid w:val="0082761C"/>
    <w:rsid w:val="00830DBE"/>
    <w:rsid w:val="00831632"/>
    <w:rsid w:val="00837F6E"/>
    <w:rsid w:val="00841A48"/>
    <w:rsid w:val="00841B65"/>
    <w:rsid w:val="00846086"/>
    <w:rsid w:val="00861304"/>
    <w:rsid w:val="00861D41"/>
    <w:rsid w:val="0086207B"/>
    <w:rsid w:val="008628FC"/>
    <w:rsid w:val="008668B4"/>
    <w:rsid w:val="00875F1A"/>
    <w:rsid w:val="0087759F"/>
    <w:rsid w:val="00882729"/>
    <w:rsid w:val="00891F02"/>
    <w:rsid w:val="0089356B"/>
    <w:rsid w:val="008B2217"/>
    <w:rsid w:val="008C10A8"/>
    <w:rsid w:val="008C28C4"/>
    <w:rsid w:val="008C4354"/>
    <w:rsid w:val="008D5BDD"/>
    <w:rsid w:val="008E033E"/>
    <w:rsid w:val="008E2990"/>
    <w:rsid w:val="008E32D9"/>
    <w:rsid w:val="008F3746"/>
    <w:rsid w:val="008F387C"/>
    <w:rsid w:val="00903269"/>
    <w:rsid w:val="00910335"/>
    <w:rsid w:val="00910A5A"/>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0D4"/>
    <w:rsid w:val="009F4687"/>
    <w:rsid w:val="00A046C0"/>
    <w:rsid w:val="00A05522"/>
    <w:rsid w:val="00A061F3"/>
    <w:rsid w:val="00A065C9"/>
    <w:rsid w:val="00A07462"/>
    <w:rsid w:val="00A13A3C"/>
    <w:rsid w:val="00A169AA"/>
    <w:rsid w:val="00A2699A"/>
    <w:rsid w:val="00A31B3E"/>
    <w:rsid w:val="00A36375"/>
    <w:rsid w:val="00A4617E"/>
    <w:rsid w:val="00A604C8"/>
    <w:rsid w:val="00A747CA"/>
    <w:rsid w:val="00A973CC"/>
    <w:rsid w:val="00AA56D1"/>
    <w:rsid w:val="00AA671F"/>
    <w:rsid w:val="00AB506C"/>
    <w:rsid w:val="00AC311F"/>
    <w:rsid w:val="00AC3508"/>
    <w:rsid w:val="00AC6068"/>
    <w:rsid w:val="00AD49EE"/>
    <w:rsid w:val="00AD6ED7"/>
    <w:rsid w:val="00AD7E32"/>
    <w:rsid w:val="00AE04CE"/>
    <w:rsid w:val="00AE6FB7"/>
    <w:rsid w:val="00B10656"/>
    <w:rsid w:val="00B12893"/>
    <w:rsid w:val="00B41405"/>
    <w:rsid w:val="00B47395"/>
    <w:rsid w:val="00B62339"/>
    <w:rsid w:val="00B64B43"/>
    <w:rsid w:val="00B664C9"/>
    <w:rsid w:val="00B76DF1"/>
    <w:rsid w:val="00B8734F"/>
    <w:rsid w:val="00B934A2"/>
    <w:rsid w:val="00B959F0"/>
    <w:rsid w:val="00BA08B3"/>
    <w:rsid w:val="00BA7874"/>
    <w:rsid w:val="00BC4642"/>
    <w:rsid w:val="00BD3E1C"/>
    <w:rsid w:val="00BE1E52"/>
    <w:rsid w:val="00BE2DA4"/>
    <w:rsid w:val="00BF621C"/>
    <w:rsid w:val="00C134E0"/>
    <w:rsid w:val="00C15B45"/>
    <w:rsid w:val="00C174AE"/>
    <w:rsid w:val="00C252DF"/>
    <w:rsid w:val="00C37FC7"/>
    <w:rsid w:val="00C43C8D"/>
    <w:rsid w:val="00C44622"/>
    <w:rsid w:val="00C4734E"/>
    <w:rsid w:val="00C54443"/>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21EEB"/>
    <w:rsid w:val="00D630FF"/>
    <w:rsid w:val="00D63462"/>
    <w:rsid w:val="00D64346"/>
    <w:rsid w:val="00D71AE9"/>
    <w:rsid w:val="00D869E9"/>
    <w:rsid w:val="00D91466"/>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D35"/>
    <w:rsid w:val="00E90D0E"/>
    <w:rsid w:val="00E9207C"/>
    <w:rsid w:val="00E97598"/>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D4744"/>
    <w:rsid w:val="00FD7D09"/>
    <w:rsid w:val="00FE4E67"/>
    <w:rsid w:val="00FE551E"/>
    <w:rsid w:val="00FE70B1"/>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9FA8-3247-4528-A2B5-ADC7F0A3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31</cp:revision>
  <cp:lastPrinted>2024-04-25T11:37:00Z</cp:lastPrinted>
  <dcterms:created xsi:type="dcterms:W3CDTF">2023-04-14T03:03:00Z</dcterms:created>
  <dcterms:modified xsi:type="dcterms:W3CDTF">2025-01-17T10:49:00Z</dcterms:modified>
</cp:coreProperties>
</file>